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3000"/>
    <w:bookmarkStart w:id="1" w:name="_GoBack"/>
    <w:bookmarkEnd w:id="1"/>
    <w:p w:rsidR="00000000" w:rsidRDefault="00C53D15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 г. N 2738-р Об утверждении перечня жизненно необходимых и важнейших лекарственных препаратов для медицинского применения на 2019 год, перечня лекарс</w:t>
      </w:r>
      <w:r>
        <w:rPr>
          <w:rStyle w:val="a4"/>
          <w:b w:val="0"/>
          <w:bCs w:val="0"/>
        </w:rPr>
        <w:t>твенных препаратов для медицинского применения, перечня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</w:t>
      </w:r>
      <w:r>
        <w:rPr>
          <w:rStyle w:val="a4"/>
          <w:b w:val="0"/>
          <w:bCs w:val="0"/>
        </w:rPr>
        <w:t>одственных им тканей, рассеянным склерозом, лиц после трансплантации органов и (или) тканей, а также минимального ассортимента лекарственных препаратов, необходимых для оказания медицинской помощи</w:t>
      </w:r>
      <w:r>
        <w:fldChar w:fldCharType="end"/>
      </w:r>
    </w:p>
    <w:bookmarkEnd w:id="0"/>
    <w:p w:rsidR="00000000" w:rsidRDefault="00C53D15">
      <w:pPr>
        <w:pStyle w:val="1"/>
      </w:pPr>
      <w:r>
        <w:fldChar w:fldCharType="begin"/>
      </w:r>
      <w:r>
        <w:instrText>HYPERLINK "http://ivo.garant.ru/document?id=72023048&amp;sub=3000"</w:instrText>
      </w:r>
      <w:r>
        <w:fldChar w:fldCharType="separate"/>
      </w:r>
      <w:r>
        <w:rPr>
          <w:rStyle w:val="a4"/>
          <w:b w:val="0"/>
          <w:bCs w:val="0"/>
        </w:rPr>
        <w:t>Приложение N 3. 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</w:t>
      </w:r>
      <w:r>
        <w:rPr>
          <w:rStyle w:val="a4"/>
          <w:b w:val="0"/>
          <w:bCs w:val="0"/>
        </w:rPr>
        <w:t>ми лимфоидной, кроветворной и родственных им тканей, рассеянным склерозом, а также лиц после трансплантации органов и (или) тканей</w:t>
      </w:r>
      <w:r>
        <w:fldChar w:fldCharType="end"/>
      </w:r>
    </w:p>
    <w:p w:rsidR="00000000" w:rsidRDefault="00C53D15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p w:rsidR="00000000" w:rsidRDefault="00C53D15"/>
    <w:p w:rsidR="00000000" w:rsidRDefault="00C53D15">
      <w:pPr>
        <w:pStyle w:val="1"/>
      </w:pPr>
      <w:r>
        <w:t>Пе</w:t>
      </w:r>
      <w:r>
        <w:t>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</w:t>
      </w:r>
      <w:r>
        <w:t>же лиц после трансплантации органов и (или) тканей</w:t>
      </w:r>
    </w:p>
    <w:p w:rsidR="00000000" w:rsidRDefault="00C53D15"/>
    <w:p w:rsidR="00000000" w:rsidRDefault="00C53D1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53D15">
      <w:pPr>
        <w:pStyle w:val="a6"/>
        <w:ind w:firstLine="698"/>
      </w:pPr>
      <w:r>
        <w:t xml:space="preserve">См. </w:t>
      </w:r>
      <w:hyperlink r:id="rId5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6" w:history="1">
        <w:r>
          <w:rPr>
            <w:rStyle w:val="a4"/>
          </w:rPr>
          <w:t>Перечня</w:t>
        </w:r>
      </w:hyperlink>
      <w:r>
        <w:t xml:space="preserve"> лекарственных </w:t>
      </w:r>
      <w:r>
        <w:t>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</w:t>
      </w:r>
      <w:r>
        <w:t xml:space="preserve">нтации органов и (или) тканей,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p w:rsidR="00000000" w:rsidRDefault="00C53D15">
      <w:pPr>
        <w:pStyle w:val="a6"/>
      </w:pPr>
    </w:p>
    <w:p w:rsidR="00000000" w:rsidRDefault="00C53D15">
      <w:pPr>
        <w:pStyle w:val="1"/>
      </w:pPr>
      <w:bookmarkStart w:id="2" w:name="sub_3001"/>
      <w:r>
        <w:t>I. Лекарственные препараты, которыми обеспечиваются больные гемофилией</w:t>
      </w:r>
    </w:p>
    <w:bookmarkEnd w:id="2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антиингибиторный коагулянтный комплекс</w:t>
            </w:r>
          </w:p>
          <w:p w:rsidR="00000000" w:rsidRDefault="00C53D15">
            <w:pPr>
              <w:pStyle w:val="a8"/>
            </w:pPr>
            <w:r>
              <w:t>мороктоког альфа</w:t>
            </w:r>
          </w:p>
          <w:p w:rsidR="00000000" w:rsidRDefault="00C53D15">
            <w:pPr>
              <w:pStyle w:val="a8"/>
            </w:pPr>
            <w:r>
              <w:t>нонаког альфа</w:t>
            </w:r>
          </w:p>
          <w:p w:rsidR="00000000" w:rsidRDefault="00C53D15">
            <w:pPr>
              <w:pStyle w:val="a8"/>
            </w:pPr>
            <w:r>
              <w:t>октоког альфа</w:t>
            </w:r>
          </w:p>
          <w:p w:rsidR="00000000" w:rsidRDefault="00C53D15">
            <w:pPr>
              <w:pStyle w:val="a8"/>
            </w:pPr>
            <w:r>
              <w:t>фактор свертывания крови VIII</w:t>
            </w:r>
          </w:p>
          <w:p w:rsidR="00000000" w:rsidRDefault="00C53D15">
            <w:pPr>
              <w:pStyle w:val="a8"/>
            </w:pPr>
            <w:r>
              <w:t>фактор свертывания крови IX</w:t>
            </w:r>
          </w:p>
          <w:p w:rsidR="00000000" w:rsidRDefault="00C53D15">
            <w:pPr>
              <w:pStyle w:val="a8"/>
            </w:pPr>
            <w:r>
              <w:t>фактор свертывания крови VIII + фактор Виллебранда</w:t>
            </w:r>
          </w:p>
          <w:p w:rsidR="00000000" w:rsidRDefault="00C53D15">
            <w:pPr>
              <w:pStyle w:val="a8"/>
            </w:pPr>
            <w:r>
              <w:t>эптаког альфа (активированный)</w:t>
            </w:r>
          </w:p>
        </w:tc>
      </w:tr>
    </w:tbl>
    <w:p w:rsidR="00000000" w:rsidRDefault="00C53D15"/>
    <w:p w:rsidR="00000000" w:rsidRDefault="00C53D15">
      <w:pPr>
        <w:pStyle w:val="1"/>
      </w:pPr>
      <w:bookmarkStart w:id="3" w:name="sub_3002"/>
      <w:r>
        <w:t>II. Лекарственные преп</w:t>
      </w:r>
      <w:r>
        <w:t>араты, которыми обеспечиваются больные муковисцидозом</w:t>
      </w:r>
    </w:p>
    <w:bookmarkEnd w:id="3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дорназа альфа</w:t>
            </w:r>
          </w:p>
        </w:tc>
      </w:tr>
    </w:tbl>
    <w:p w:rsidR="00000000" w:rsidRDefault="00C53D15"/>
    <w:p w:rsidR="00000000" w:rsidRDefault="00C53D15">
      <w:pPr>
        <w:pStyle w:val="1"/>
      </w:pPr>
      <w:bookmarkStart w:id="4" w:name="sub_3003"/>
      <w:r>
        <w:t>III. Лекарственные препараты, которыми обеспечиваются больные гипофизарным нанизмом</w:t>
      </w:r>
    </w:p>
    <w:bookmarkEnd w:id="4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соматропин</w:t>
            </w:r>
          </w:p>
        </w:tc>
      </w:tr>
    </w:tbl>
    <w:p w:rsidR="00000000" w:rsidRDefault="00C53D15"/>
    <w:p w:rsidR="00000000" w:rsidRDefault="00C53D15">
      <w:pPr>
        <w:pStyle w:val="1"/>
      </w:pPr>
      <w:bookmarkStart w:id="5" w:name="sub_3004"/>
      <w:r>
        <w:t>IV. Лекарственные препараты, которыми обеспечиваются больные болезнью Гоше</w:t>
      </w:r>
    </w:p>
    <w:bookmarkEnd w:id="5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</w:t>
            </w:r>
            <w:r>
              <w:t>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велаглюцераза альфа</w:t>
            </w:r>
          </w:p>
          <w:p w:rsidR="00000000" w:rsidRDefault="00C53D15">
            <w:pPr>
              <w:pStyle w:val="a8"/>
            </w:pPr>
            <w:r>
              <w:t>имиглюцераза</w:t>
            </w:r>
          </w:p>
        </w:tc>
      </w:tr>
    </w:tbl>
    <w:p w:rsidR="00000000" w:rsidRDefault="00C53D15"/>
    <w:p w:rsidR="00000000" w:rsidRDefault="00C53D15">
      <w:pPr>
        <w:pStyle w:val="1"/>
      </w:pPr>
      <w:bookmarkStart w:id="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</w:t>
      </w:r>
      <w:r>
        <w:t>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</w:t>
      </w:r>
      <w:r>
        <w:t>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6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</w:t>
            </w:r>
            <w:r>
              <w:t>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lastRenderedPageBreak/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леналидомид</w:t>
            </w:r>
          </w:p>
        </w:tc>
      </w:tr>
    </w:tbl>
    <w:p w:rsidR="00000000" w:rsidRDefault="00C53D15"/>
    <w:p w:rsidR="00000000" w:rsidRDefault="00C53D15">
      <w:pPr>
        <w:pStyle w:val="1"/>
      </w:pPr>
      <w:bookmarkStart w:id="7" w:name="sub_3006"/>
      <w:r>
        <w:t>VI. Лекарственные препараты, которыми обеспечиваются больные рассеянным склерозом</w:t>
      </w:r>
    </w:p>
    <w:bookmarkEnd w:id="7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интерферон бета-1a</w:t>
            </w:r>
          </w:p>
          <w:p w:rsidR="00000000" w:rsidRDefault="00C53D15">
            <w:pPr>
              <w:pStyle w:val="a8"/>
            </w:pPr>
            <w:r>
              <w:t>интерферон бета-1b</w:t>
            </w:r>
          </w:p>
          <w:p w:rsidR="00000000" w:rsidRDefault="00C53D15">
            <w:pPr>
              <w:pStyle w:val="a8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натализумаб</w:t>
            </w:r>
          </w:p>
          <w:p w:rsidR="00000000" w:rsidRDefault="00C53D15">
            <w:pPr>
              <w:pStyle w:val="a8"/>
            </w:pPr>
            <w:r>
              <w:t>терифлуномид</w:t>
            </w:r>
          </w:p>
        </w:tc>
      </w:tr>
    </w:tbl>
    <w:p w:rsidR="00000000" w:rsidRDefault="00C53D15"/>
    <w:p w:rsidR="00000000" w:rsidRDefault="00C53D15">
      <w:pPr>
        <w:pStyle w:val="1"/>
      </w:pPr>
      <w:bookmarkStart w:id="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000000" w:rsidRDefault="00C53D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53D1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микофенолата мофетил</w:t>
            </w:r>
          </w:p>
          <w:p w:rsidR="00000000" w:rsidRDefault="00C53D15">
            <w:pPr>
              <w:pStyle w:val="a8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3D15">
            <w:pPr>
              <w:pStyle w:val="a8"/>
            </w:pPr>
            <w:r>
              <w:t>такролимус</w:t>
            </w:r>
          </w:p>
          <w:p w:rsidR="00000000" w:rsidRDefault="00C53D15">
            <w:pPr>
              <w:pStyle w:val="a8"/>
            </w:pPr>
            <w:r>
              <w:t>циклоспорин</w:t>
            </w:r>
          </w:p>
        </w:tc>
      </w:tr>
    </w:tbl>
    <w:p w:rsidR="00C53D15" w:rsidRDefault="00C53D15"/>
    <w:sectPr w:rsidR="00C53D1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39"/>
    <w:rsid w:val="00A43C39"/>
    <w:rsid w:val="00C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25BC42-D337-4D7A-8A3F-2375650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69584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695840&amp;sub=3000" TargetMode="External"/><Relationship Id="rId5" Type="http://schemas.openxmlformats.org/officeDocument/2006/relationships/hyperlink" Target="http://ivo.garant.ru/document?id=7756997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22ws3</cp:lastModifiedBy>
  <cp:revision>2</cp:revision>
  <dcterms:created xsi:type="dcterms:W3CDTF">2019-02-27T13:25:00Z</dcterms:created>
  <dcterms:modified xsi:type="dcterms:W3CDTF">2019-02-27T13:25:00Z</dcterms:modified>
</cp:coreProperties>
</file>